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66" w:rsidRDefault="00597B66" w:rsidP="00597B66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Dopune</w:t>
      </w:r>
    </w:p>
    <w:p w:rsidR="00597B66" w:rsidRDefault="00597B66" w:rsidP="00597B66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Popisa isprava i službenih obrazaca u 2021.</w:t>
      </w:r>
    </w:p>
    <w:p w:rsidR="00597B66" w:rsidRDefault="00597B66" w:rsidP="00597B66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</w:p>
    <w:p w:rsidR="00597B66" w:rsidRDefault="00597B66" w:rsidP="00597B66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Sukladno obvezi kontinuiranog ažuriranja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hr-HR"/>
        </w:rPr>
        <w:t>Popisa isprava i službenih obrazaca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koji je sastavni dio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hr-HR"/>
        </w:rPr>
        <w:t>Odluke o ispravama i službenim obrascima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</w:t>
      </w:r>
      <w:r w:rsidRPr="00CB2FF5">
        <w:rPr>
          <w:rFonts w:ascii="Times New Roman" w:eastAsia="Calibri" w:hAnsi="Times New Roman" w:cs="Times New Roman"/>
          <w:i/>
          <w:noProof/>
          <w:sz w:val="24"/>
          <w:szCs w:val="24"/>
          <w:lang w:val="hr-HR"/>
        </w:rPr>
        <w:t>čiji su sadržaji, oblik, način zaštite i obvezna primjena propisani zakonima i drugim propisima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(Narodne novine, br. 50/11, 119/11, 28/13, 96/13, 47/14, 61/15, 34/16, 17/17,  86/17 i 97/18), navodimo dopune važećeg Popisa isprava i obrazaca.</w:t>
      </w:r>
    </w:p>
    <w:p w:rsidR="00CB2FF5" w:rsidRDefault="00CB2FF5" w:rsidP="00597B66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</w:p>
    <w:p w:rsidR="00597B66" w:rsidRDefault="00597B66" w:rsidP="00597B66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  <w:t>Hrvatska obrtnička komora</w:t>
      </w:r>
    </w:p>
    <w:p w:rsidR="00597B66" w:rsidRPr="003C2036" w:rsidRDefault="00597B66" w:rsidP="00597B66">
      <w:pPr>
        <w:pStyle w:val="box465497"/>
        <w:numPr>
          <w:ilvl w:val="0"/>
          <w:numId w:val="1"/>
        </w:numPr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  <w:shd w:val="clear" w:color="auto" w:fill="FFFFFF"/>
          <w:lang w:val="hr-HR"/>
        </w:rPr>
      </w:pPr>
      <w:r w:rsidRPr="003C2036">
        <w:rPr>
          <w:b/>
          <w:bCs/>
          <w:noProof/>
          <w:color w:val="000000"/>
          <w:lang w:val="hr-HR"/>
        </w:rPr>
        <w:t>Pravilnik o načinu i postupku provedbe ispita kojim se dakazuje osnovno znanaje o</w:t>
      </w:r>
    </w:p>
    <w:p w:rsidR="00597B66" w:rsidRDefault="00597B66" w:rsidP="00597B66">
      <w:pPr>
        <w:pStyle w:val="box465497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  <w:shd w:val="clear" w:color="auto" w:fill="FFFFFF"/>
          <w:lang w:val="hr-HR"/>
        </w:rPr>
      </w:pPr>
      <w:r w:rsidRPr="003C2036">
        <w:rPr>
          <w:b/>
          <w:bCs/>
          <w:noProof/>
          <w:color w:val="000000"/>
          <w:lang w:val="hr-HR"/>
        </w:rPr>
        <w:t xml:space="preserve">poučavanju učenika na naukovanju </w:t>
      </w:r>
      <w:r w:rsidRPr="00E2132D">
        <w:rPr>
          <w:noProof/>
          <w:color w:val="000000"/>
          <w:lang w:val="hr-HR"/>
        </w:rPr>
        <w:t>(Narodne novine</w:t>
      </w:r>
      <w:r>
        <w:rPr>
          <w:noProof/>
          <w:color w:val="000000"/>
          <w:lang w:val="hr-HR"/>
        </w:rPr>
        <w:t>,</w:t>
      </w:r>
      <w:r w:rsidRPr="00E2132D">
        <w:rPr>
          <w:noProof/>
          <w:color w:val="000000"/>
          <w:lang w:val="hr-HR"/>
        </w:rPr>
        <w:t xml:space="preserve"> broj 107/20),</w:t>
      </w:r>
      <w:r w:rsidRPr="003C2036">
        <w:rPr>
          <w:noProof/>
          <w:color w:val="000000"/>
          <w:lang w:val="hr-HR"/>
        </w:rPr>
        <w:t xml:space="preserve"> kao podzkonski akt Zakona o obrtu (Narodne novine, br. 143/13, 127/19 i 41/20)</w:t>
      </w:r>
      <w:r w:rsidRPr="003C2036">
        <w:rPr>
          <w:color w:val="231F20"/>
          <w:shd w:val="clear" w:color="auto" w:fill="FFFFFF"/>
          <w:lang w:val="hr-HR"/>
        </w:rPr>
        <w:t xml:space="preserve"> propisuje način i postupak provedbe  ispita kojim se dokazuje osnovno znanje o poučavanju učenika na naukovanju (u daljnjem tekstu: Ispit), visina naknade troškova te sadržaj i oblik uvjerenja o položenom Ispitu.</w:t>
      </w:r>
      <w:r>
        <w:rPr>
          <w:color w:val="231F20"/>
          <w:shd w:val="clear" w:color="auto" w:fill="FFFFFF"/>
          <w:lang w:val="hr-HR"/>
        </w:rPr>
        <w:t xml:space="preserve"> U tom smislu, članak 7. Pravilnika propisuje </w:t>
      </w:r>
      <w:r w:rsidRPr="009B7386">
        <w:rPr>
          <w:color w:val="231F20"/>
          <w:shd w:val="clear" w:color="auto" w:fill="FFFFFF"/>
          <w:lang w:val="hr-HR"/>
        </w:rPr>
        <w:t> </w:t>
      </w:r>
      <w:r>
        <w:rPr>
          <w:color w:val="231F20"/>
          <w:shd w:val="clear" w:color="auto" w:fill="FFFFFF"/>
          <w:lang w:val="hr-HR"/>
        </w:rPr>
        <w:t xml:space="preserve">uvjet za pristupanje Ispitu, </w:t>
      </w:r>
      <w:r>
        <w:rPr>
          <w:color w:val="231F20"/>
          <w:lang w:val="hr-HR"/>
        </w:rPr>
        <w:t>Prijavnicu</w:t>
      </w:r>
      <w:r w:rsidRPr="00795D1A">
        <w:rPr>
          <w:color w:val="231F20"/>
          <w:lang w:val="hr-HR"/>
        </w:rPr>
        <w:t xml:space="preserve"> za polaganje Ispita </w:t>
      </w:r>
      <w:r>
        <w:rPr>
          <w:color w:val="231F20"/>
          <w:lang w:val="hr-HR"/>
        </w:rPr>
        <w:t xml:space="preserve">koja se </w:t>
      </w:r>
      <w:r w:rsidRPr="00795D1A">
        <w:rPr>
          <w:color w:val="231F20"/>
          <w:lang w:val="hr-HR"/>
        </w:rPr>
        <w:t>podnosi</w:t>
      </w:r>
      <w:r>
        <w:rPr>
          <w:color w:val="231F20"/>
          <w:lang w:val="hr-HR"/>
        </w:rPr>
        <w:t xml:space="preserve"> Hrvatskoj obrtničkoj komori (</w:t>
      </w:r>
      <w:r w:rsidRPr="00795D1A">
        <w:rPr>
          <w:color w:val="231F20"/>
          <w:lang w:val="hr-HR"/>
        </w:rPr>
        <w:t>Obrazac prijavnice sastavni je di</w:t>
      </w:r>
      <w:r>
        <w:rPr>
          <w:color w:val="231F20"/>
          <w:lang w:val="hr-HR"/>
        </w:rPr>
        <w:t xml:space="preserve">o ovoga Pravilnika kao Prilog 1.) i </w:t>
      </w:r>
      <w:r w:rsidRPr="00627F50">
        <w:rPr>
          <w:color w:val="231F20"/>
          <w:shd w:val="clear" w:color="auto" w:fill="FFFFFF"/>
          <w:lang w:val="hr-HR"/>
        </w:rPr>
        <w:t>Uvjerenje o položenom ispitu kojim se dokazuje osnovno znanje o poučavanju učenika na naukovanju izdaje Hrvatska obrtnička komora</w:t>
      </w:r>
      <w:r>
        <w:rPr>
          <w:color w:val="231F20"/>
          <w:shd w:val="clear" w:color="auto" w:fill="FFFFFF"/>
          <w:lang w:val="hr-HR"/>
        </w:rPr>
        <w:t xml:space="preserve"> (</w:t>
      </w:r>
      <w:r w:rsidRPr="00DD4FBF">
        <w:rPr>
          <w:color w:val="231F20"/>
          <w:shd w:val="clear" w:color="auto" w:fill="FFFFFF"/>
          <w:lang w:val="hr-HR"/>
        </w:rPr>
        <w:t>Obrazac Uvjerenja tiskan je uz ovaj Pravilnik i čini njegov sastavni dio kao Prilog 2</w:t>
      </w:r>
      <w:r w:rsidR="00CE2E9A">
        <w:rPr>
          <w:color w:val="231F20"/>
          <w:shd w:val="clear" w:color="auto" w:fill="FFFFFF"/>
          <w:lang w:val="hr-HR"/>
        </w:rPr>
        <w:t>)</w:t>
      </w:r>
      <w:bookmarkStart w:id="0" w:name="_GoBack"/>
      <w:bookmarkEnd w:id="0"/>
      <w:r w:rsidRPr="00DD4FBF">
        <w:rPr>
          <w:color w:val="231F20"/>
          <w:shd w:val="clear" w:color="auto" w:fill="FFFFFF"/>
          <w:lang w:val="hr-HR"/>
        </w:rPr>
        <w:t>.</w:t>
      </w:r>
    </w:p>
    <w:p w:rsidR="00CB2FF5" w:rsidRDefault="00CB2FF5" w:rsidP="00597B66">
      <w:pPr>
        <w:pStyle w:val="box465497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  <w:shd w:val="clear" w:color="auto" w:fill="FFFFFF"/>
          <w:lang w:val="hr-HR"/>
        </w:rPr>
      </w:pPr>
    </w:p>
    <w:p w:rsidR="00597B66" w:rsidRPr="000E6635" w:rsidRDefault="00597B66" w:rsidP="00597B66">
      <w:pPr>
        <w:pStyle w:val="box465498"/>
        <w:numPr>
          <w:ilvl w:val="0"/>
          <w:numId w:val="1"/>
        </w:numPr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  <w:lang w:val="hr-HR"/>
        </w:rPr>
      </w:pPr>
      <w:r w:rsidRPr="000E6635">
        <w:rPr>
          <w:b/>
          <w:bCs/>
          <w:color w:val="231F20"/>
          <w:shd w:val="clear" w:color="auto" w:fill="FFFFFF"/>
          <w:lang w:val="hr-HR"/>
        </w:rPr>
        <w:t xml:space="preserve">Pravilnik o postupku i načinu izdavanja dozvola (licencija) za izvođenje </w:t>
      </w:r>
      <w:r>
        <w:rPr>
          <w:b/>
          <w:bCs/>
          <w:color w:val="231F20"/>
          <w:shd w:val="clear" w:color="auto" w:fill="FFFFFF"/>
          <w:lang w:val="hr-HR"/>
        </w:rPr>
        <w:t>naukovanja</w:t>
      </w:r>
    </w:p>
    <w:p w:rsidR="00597B66" w:rsidRDefault="00597B66" w:rsidP="00597B66">
      <w:pPr>
        <w:pStyle w:val="box465498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  <w:shd w:val="clear" w:color="auto" w:fill="FFFFFF"/>
          <w:lang w:val="hr-HR"/>
        </w:rPr>
      </w:pPr>
      <w:r w:rsidRPr="00E2132D">
        <w:rPr>
          <w:noProof/>
          <w:color w:val="000000"/>
          <w:lang w:val="hr-HR"/>
        </w:rPr>
        <w:t>(Narodne novine</w:t>
      </w:r>
      <w:r>
        <w:rPr>
          <w:noProof/>
          <w:color w:val="000000"/>
          <w:lang w:val="hr-HR"/>
        </w:rPr>
        <w:t>,</w:t>
      </w:r>
      <w:r w:rsidRPr="00E2132D">
        <w:rPr>
          <w:noProof/>
          <w:color w:val="000000"/>
          <w:lang w:val="hr-HR"/>
        </w:rPr>
        <w:t xml:space="preserve"> broj 107/20),</w:t>
      </w:r>
      <w:r w:rsidRPr="00BD448E">
        <w:rPr>
          <w:noProof/>
          <w:color w:val="000000"/>
          <w:lang w:val="hr-HR"/>
        </w:rPr>
        <w:t xml:space="preserve"> kao podzkonski akt Zakona o obrtu (Narodne novine, br. 143/13, 127/19 i 41/20)</w:t>
      </w:r>
      <w:r>
        <w:rPr>
          <w:noProof/>
          <w:color w:val="000000"/>
          <w:lang w:val="hr-HR"/>
        </w:rPr>
        <w:t xml:space="preserve"> </w:t>
      </w:r>
      <w:r>
        <w:rPr>
          <w:color w:val="231F20"/>
          <w:shd w:val="clear" w:color="auto" w:fill="FFFFFF"/>
          <w:lang w:val="hr-HR"/>
        </w:rPr>
        <w:t>propisuje</w:t>
      </w:r>
      <w:r w:rsidRPr="00453A64">
        <w:rPr>
          <w:color w:val="231F20"/>
          <w:shd w:val="clear" w:color="auto" w:fill="FFFFFF"/>
          <w:lang w:val="hr-HR"/>
        </w:rPr>
        <w:t xml:space="preserve"> postupak i način izdavanja dozvola (licencija) za izvođenje naukovanja</w:t>
      </w:r>
      <w:r>
        <w:rPr>
          <w:color w:val="231F20"/>
          <w:shd w:val="clear" w:color="auto" w:fill="FFFFFF"/>
          <w:lang w:val="hr-HR"/>
        </w:rPr>
        <w:t>.</w:t>
      </w:r>
    </w:p>
    <w:p w:rsidR="00CB2FF5" w:rsidRDefault="00597B66" w:rsidP="00597B66">
      <w:pPr>
        <w:pStyle w:val="box465498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  <w:shd w:val="clear" w:color="auto" w:fill="FFFFFF"/>
          <w:lang w:val="hr-HR"/>
        </w:rPr>
      </w:pPr>
      <w:r>
        <w:rPr>
          <w:color w:val="231F20"/>
          <w:shd w:val="clear" w:color="auto" w:fill="FFFFFF"/>
          <w:lang w:val="hr-HR"/>
        </w:rPr>
        <w:t xml:space="preserve">U tom smislu, članak 7. Pravilnika propisuje da </w:t>
      </w:r>
      <w:r w:rsidRPr="00FF2E3C">
        <w:rPr>
          <w:color w:val="231F20"/>
          <w:shd w:val="clear" w:color="auto" w:fill="FFFFFF"/>
          <w:lang w:val="hr-HR"/>
        </w:rPr>
        <w:t>Zahtjev za izdavanje, odnosno promjenu, dopunu ili prestanak dozvole, obrtnik ili pravna osoba podnosi Hrvatskoj obrtničkoj komori, putem područne obrtničke komore odnosno udruženja obrtnika, a prema sjedištu obrta odnosno pravne osobe</w:t>
      </w:r>
      <w:r>
        <w:rPr>
          <w:color w:val="231F20"/>
          <w:shd w:val="clear" w:color="auto" w:fill="FFFFFF"/>
          <w:lang w:val="hr-HR"/>
        </w:rPr>
        <w:t xml:space="preserve"> (</w:t>
      </w:r>
      <w:r w:rsidRPr="00000678">
        <w:rPr>
          <w:color w:val="231F20"/>
          <w:shd w:val="clear" w:color="auto" w:fill="FFFFFF"/>
          <w:lang w:val="hr-HR"/>
        </w:rPr>
        <w:t>Obrazac zahtjeva za izdavanje odnosno promjenu, dopunu ili prestanak dozvole sastavni je dio ovoga Pravilnika kao Prilog 1.</w:t>
      </w:r>
      <w:r>
        <w:rPr>
          <w:color w:val="231F20"/>
          <w:shd w:val="clear" w:color="auto" w:fill="FFFFFF"/>
          <w:lang w:val="hr-HR"/>
        </w:rPr>
        <w:t xml:space="preserve">). </w:t>
      </w:r>
      <w:r w:rsidRPr="0043135E">
        <w:rPr>
          <w:color w:val="231F20"/>
          <w:shd w:val="clear" w:color="auto" w:fill="FFFFFF"/>
          <w:lang w:val="hr-HR"/>
        </w:rPr>
        <w:t>Po podnesenom zahtjevu za izdavanje dozvole utvrđuje se udovoljavanje uvjetima stručne spreme mentora od strane obrtnika, odgovorne osobe pravne osobe ili zaposlenika obrtnika odnosno pravne osobe sukladno odredbama Zakona o obrtu te dostava</w:t>
      </w:r>
      <w:r>
        <w:rPr>
          <w:color w:val="231F20"/>
          <w:shd w:val="clear" w:color="auto" w:fill="FFFFFF"/>
          <w:lang w:val="hr-HR"/>
        </w:rPr>
        <w:t xml:space="preserve"> propisane dokumentacije. Ostali obrasci, a vezano uz provedbu predmetnog Pravilnika sastavni su dio istoga  i objavljeni su </w:t>
      </w:r>
      <w:r w:rsidR="00CB2FF5">
        <w:rPr>
          <w:color w:val="231F20"/>
          <w:shd w:val="clear" w:color="auto" w:fill="FFFFFF"/>
          <w:lang w:val="hr-HR"/>
        </w:rPr>
        <w:t>kao Prilozi 1., 2., 3., 5. i 6.</w:t>
      </w:r>
    </w:p>
    <w:p w:rsidR="00CB2FF5" w:rsidRDefault="00CB2FF5" w:rsidP="00597B66">
      <w:pPr>
        <w:pStyle w:val="box465498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  <w:shd w:val="clear" w:color="auto" w:fill="FFFFFF"/>
          <w:lang w:val="hr-HR"/>
        </w:rPr>
      </w:pPr>
    </w:p>
    <w:p w:rsidR="00597B66" w:rsidRDefault="00597B66" w:rsidP="00CB2FF5">
      <w:pPr>
        <w:pStyle w:val="box465498"/>
        <w:numPr>
          <w:ilvl w:val="0"/>
          <w:numId w:val="1"/>
        </w:numPr>
        <w:shd w:val="clear" w:color="auto" w:fill="FFFFFF"/>
        <w:spacing w:before="0" w:beforeAutospacing="0" w:after="48" w:afterAutospacing="0" w:line="276" w:lineRule="auto"/>
        <w:ind w:left="0" w:firstLine="426"/>
        <w:jc w:val="both"/>
        <w:textAlignment w:val="baseline"/>
        <w:rPr>
          <w:color w:val="231F20"/>
          <w:shd w:val="clear" w:color="auto" w:fill="FFFFFF"/>
          <w:lang w:val="hr-HR"/>
        </w:rPr>
      </w:pPr>
      <w:r>
        <w:rPr>
          <w:color w:val="231F20"/>
          <w:shd w:val="clear" w:color="auto" w:fill="FFFFFF"/>
          <w:lang w:val="hr-HR"/>
        </w:rPr>
        <w:lastRenderedPageBreak/>
        <w:t xml:space="preserve"> </w:t>
      </w:r>
      <w:r w:rsidR="00CB2FF5" w:rsidRPr="000E6635">
        <w:rPr>
          <w:b/>
          <w:bCs/>
          <w:color w:val="231F20"/>
          <w:shd w:val="clear" w:color="auto" w:fill="FFFFFF"/>
          <w:lang w:val="hr-HR"/>
        </w:rPr>
        <w:t>Pravilnik o postupku i načinu</w:t>
      </w:r>
      <w:r w:rsidR="00CB2FF5">
        <w:rPr>
          <w:b/>
          <w:bCs/>
          <w:color w:val="231F20"/>
          <w:shd w:val="clear" w:color="auto" w:fill="FFFFFF"/>
          <w:lang w:val="hr-HR"/>
        </w:rPr>
        <w:t xml:space="preserve"> polaganja naučničkog ispita (</w:t>
      </w:r>
      <w:r w:rsidR="00CB2FF5" w:rsidRPr="00E2132D">
        <w:rPr>
          <w:noProof/>
          <w:color w:val="000000"/>
          <w:lang w:val="hr-HR"/>
        </w:rPr>
        <w:t>Narod</w:t>
      </w:r>
      <w:r w:rsidR="00CB2FF5">
        <w:rPr>
          <w:noProof/>
          <w:color w:val="000000"/>
          <w:lang w:val="hr-HR"/>
        </w:rPr>
        <w:t>ne novine, broj 48/21</w:t>
      </w:r>
      <w:r w:rsidR="00CB2FF5" w:rsidRPr="00E2132D">
        <w:rPr>
          <w:noProof/>
          <w:color w:val="000000"/>
          <w:lang w:val="hr-HR"/>
        </w:rPr>
        <w:t>),</w:t>
      </w:r>
      <w:r w:rsidR="00CB2FF5">
        <w:rPr>
          <w:noProof/>
          <w:color w:val="000000"/>
          <w:lang w:val="hr-HR"/>
        </w:rPr>
        <w:t xml:space="preserve"> </w:t>
      </w:r>
      <w:r w:rsidR="00CB2FF5" w:rsidRPr="00BD448E">
        <w:rPr>
          <w:noProof/>
          <w:color w:val="000000"/>
          <w:lang w:val="hr-HR"/>
        </w:rPr>
        <w:t>kao podzkonski akt Zakona o obrtu (Narodne novine, br. 143/13, 127/19 i 41/20)</w:t>
      </w:r>
      <w:r w:rsidR="00CB2FF5">
        <w:rPr>
          <w:noProof/>
          <w:color w:val="000000"/>
          <w:lang w:val="hr-HR"/>
        </w:rPr>
        <w:t xml:space="preserve">, </w:t>
      </w:r>
      <w:r w:rsidR="00CB2FF5">
        <w:rPr>
          <w:color w:val="231F20"/>
          <w:shd w:val="clear" w:color="auto" w:fill="FFFFFF"/>
          <w:lang w:val="hr-HR"/>
        </w:rPr>
        <w:t xml:space="preserve">propisuje </w:t>
      </w:r>
      <w:r w:rsidR="00CB2FF5" w:rsidRPr="00271FD1">
        <w:rPr>
          <w:color w:val="231F20"/>
          <w:shd w:val="clear" w:color="auto" w:fill="FFFFFF"/>
          <w:lang w:val="hr-HR"/>
        </w:rPr>
        <w:t>način i postupak polaganja naučničkog ispita.</w:t>
      </w:r>
      <w:r w:rsidR="00CB2FF5">
        <w:rPr>
          <w:color w:val="231F20"/>
          <w:shd w:val="clear" w:color="auto" w:fill="FFFFFF"/>
          <w:lang w:val="hr-HR"/>
        </w:rPr>
        <w:t xml:space="preserve"> U tom smislu Pravilnik propisuje obrasce za provedbu predmetnog načina i postupka propisuje obrasce koji su sastavni dio istoga i objavljeni su kao Prilozi 1., 2. i 3.</w:t>
      </w:r>
    </w:p>
    <w:p w:rsidR="00597B66" w:rsidRDefault="00597B66" w:rsidP="00597B66">
      <w:pPr>
        <w:pStyle w:val="box465498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  <w:shd w:val="clear" w:color="auto" w:fill="FFFFFF"/>
          <w:lang w:val="hr-HR"/>
        </w:rPr>
      </w:pPr>
      <w:r>
        <w:rPr>
          <w:color w:val="231F20"/>
          <w:shd w:val="clear" w:color="auto" w:fill="FFFFFF"/>
          <w:lang w:val="hr-HR"/>
        </w:rPr>
        <w:tab/>
      </w:r>
    </w:p>
    <w:p w:rsidR="00597B66" w:rsidRDefault="00597B66" w:rsidP="00597B66">
      <w:pPr>
        <w:pStyle w:val="box465498"/>
        <w:shd w:val="clear" w:color="auto" w:fill="FFFFFF"/>
        <w:spacing w:before="0" w:beforeAutospacing="0" w:after="48" w:afterAutospacing="0" w:line="276" w:lineRule="auto"/>
        <w:ind w:firstLine="720"/>
        <w:jc w:val="both"/>
        <w:textAlignment w:val="baseline"/>
        <w:rPr>
          <w:rFonts w:eastAsia="Calibri"/>
          <w:lang w:val="hr-HR"/>
        </w:rPr>
      </w:pPr>
      <w:r>
        <w:rPr>
          <w:color w:val="231F20"/>
          <w:shd w:val="clear" w:color="auto" w:fill="FFFFFF"/>
          <w:lang w:val="hr-HR"/>
        </w:rPr>
        <w:t>S</w:t>
      </w:r>
      <w:r w:rsidRPr="00703653">
        <w:rPr>
          <w:color w:val="231F20"/>
          <w:shd w:val="clear" w:color="auto" w:fill="FFFFFF"/>
          <w:lang w:val="hr-HR"/>
        </w:rPr>
        <w:t xml:space="preserve">lijedom navedenog, </w:t>
      </w:r>
      <w:r w:rsidRPr="00703653">
        <w:rPr>
          <w:rFonts w:eastAsia="Calibri"/>
          <w:lang w:val="hr-HR"/>
        </w:rPr>
        <w:t>u Popis isprava i službenih obrazaca koji je sastavni dio Odluke o ispravama i službenim obrascima čiji su sadržaj, oblik, način zaštite i obvezna primjena propisani zakonima i drugim propisima (Narodne novine, br. 50/11, 119/11, 28/13, 96/13, 47/14, 61/15, 34/16, 17/17, 86/17 i 97/18), dodaju se isprave i obrasci kako slijedi:</w:t>
      </w:r>
    </w:p>
    <w:p w:rsidR="00597B66" w:rsidRDefault="00597B66" w:rsidP="00597B66">
      <w:pPr>
        <w:pStyle w:val="box465498"/>
        <w:shd w:val="clear" w:color="auto" w:fill="FFFFFF"/>
        <w:spacing w:before="0" w:beforeAutospacing="0" w:after="48" w:afterAutospacing="0" w:line="276" w:lineRule="auto"/>
        <w:ind w:firstLine="720"/>
        <w:jc w:val="both"/>
        <w:textAlignment w:val="baseline"/>
        <w:rPr>
          <w:rFonts w:eastAsia="Calibri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623"/>
      </w:tblGrid>
      <w:tr w:rsidR="00597B66" w:rsidTr="00261C6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66" w:rsidRDefault="00597B66" w:rsidP="00261C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Naziv isprave i službenog obrasca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66" w:rsidRDefault="00597B66" w:rsidP="00261C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Pravni izvor</w:t>
            </w:r>
          </w:p>
        </w:tc>
      </w:tr>
      <w:tr w:rsidR="00597B66" w:rsidRPr="008304D9" w:rsidTr="00CB2FF5">
        <w:trPr>
          <w:trHeight w:val="810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66" w:rsidRDefault="00597B66" w:rsidP="00261C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597B66" w:rsidRPr="00CB2FF5" w:rsidRDefault="00597B66" w:rsidP="00CB2FF5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  <w:r w:rsidRPr="00CB2F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>Zahtjev za izdavanje, promjenu, dopunu, prestanak dozvole (licencije) za izvođenje naukovanja za zanimanje</w:t>
            </w:r>
          </w:p>
          <w:p w:rsidR="00597B66" w:rsidRPr="00CB2FF5" w:rsidRDefault="00597B66" w:rsidP="00CB2FF5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  <w:r w:rsidRPr="00CB2F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 xml:space="preserve">Zapisnik o postupku utvrđivanja uvjeta za ishođenje dozvole (licencije) za izvođenje naukovanja </w:t>
            </w:r>
          </w:p>
          <w:p w:rsidR="00597B66" w:rsidRPr="00CB2FF5" w:rsidRDefault="00597B66" w:rsidP="00CB2FF5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  <w:r w:rsidRPr="00CB2F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>Zapisnik o postupku utvrđivanja uvjeta za ishođenje zajedničke dozvole za (licencije) za izvođenje naukovanja</w:t>
            </w:r>
          </w:p>
          <w:p w:rsidR="00597B66" w:rsidRDefault="00597B66" w:rsidP="00CB2FF5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  <w:r w:rsidRPr="00CB2F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>Dozvola (licencija) za izvođenje naukovanja</w:t>
            </w:r>
          </w:p>
          <w:p w:rsidR="00CB2FF5" w:rsidRDefault="00CB2FF5" w:rsidP="00CB2FF5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  <w:r w:rsidRPr="00CB2F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>Dozvola (licencija) za zajedničko izvođenje naukovanja</w:t>
            </w:r>
          </w:p>
          <w:p w:rsidR="00597B66" w:rsidRDefault="00597B66" w:rsidP="00CB2FF5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  <w:p w:rsidR="00CB2FF5" w:rsidRDefault="00CB2FF5" w:rsidP="00CB2FF5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  <w:p w:rsidR="00597B66" w:rsidRPr="00CB2FF5" w:rsidRDefault="00597B66" w:rsidP="00CB2FF5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  <w:r w:rsidRPr="00CB2F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>Prijavnica za polaganje naučničkog ispita</w:t>
            </w:r>
          </w:p>
          <w:p w:rsidR="00597B66" w:rsidRPr="00CB2FF5" w:rsidRDefault="00597B66" w:rsidP="00CB2FF5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  <w:r w:rsidRPr="00CB2F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>Zapisnik o provedenom naučničkom ispitu</w:t>
            </w:r>
          </w:p>
          <w:p w:rsidR="00597B66" w:rsidRPr="00CB2FF5" w:rsidRDefault="00597B66" w:rsidP="00CB2FF5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  <w:r w:rsidRPr="00CB2F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 xml:space="preserve">Dodatak svjedodžbe o naukovanje  </w:t>
            </w:r>
          </w:p>
          <w:p w:rsidR="00597B66" w:rsidRDefault="00597B66" w:rsidP="00CB2FF5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  <w:p w:rsidR="00597B66" w:rsidRDefault="00597B66" w:rsidP="00CB2FF5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  <w:p w:rsidR="00597B66" w:rsidRPr="00CB2FF5" w:rsidRDefault="00597B66" w:rsidP="00CB2FF5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  <w:r w:rsidRPr="00CB2F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>Prijavnica za polaganje ispita kojim se dokazuju osnovno znanje o poučavanju učenika u naukovanju</w:t>
            </w:r>
          </w:p>
          <w:p w:rsidR="00597B66" w:rsidRPr="00CB2FF5" w:rsidRDefault="00597B66" w:rsidP="00CB2FF5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  <w:r w:rsidRPr="00CB2F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 xml:space="preserve">Uvjerenje o položenom ispitu kojim se dokazuju osnovna znanja o poučavanju učenika u naukovanju </w:t>
            </w:r>
          </w:p>
          <w:p w:rsidR="00597B66" w:rsidRPr="00C741A7" w:rsidRDefault="00597B66" w:rsidP="00261C6D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66" w:rsidRDefault="00597B66" w:rsidP="00261C6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:rsidR="00597B66" w:rsidRDefault="00597B66" w:rsidP="00261C6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597B66" w:rsidRDefault="00597B66" w:rsidP="00CB2FF5">
            <w:pPr>
              <w:spacing w:after="20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  <w:t>Pravilnik o postupku i načinu izdavanja dozvola (licencija) za izvođenje naukovanja (Narodne novine, broj 107/20</w:t>
            </w:r>
            <w:r w:rsidR="00CE2E9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  <w:t>)</w:t>
            </w:r>
          </w:p>
          <w:p w:rsidR="00597B66" w:rsidRDefault="00597B66" w:rsidP="00CB2FF5">
            <w:pPr>
              <w:spacing w:after="20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</w:p>
          <w:p w:rsidR="00597B66" w:rsidRDefault="00597B66" w:rsidP="00CB2FF5">
            <w:pPr>
              <w:spacing w:after="20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</w:p>
          <w:p w:rsidR="00597B66" w:rsidRDefault="00597B66" w:rsidP="00CB2FF5">
            <w:pPr>
              <w:spacing w:after="20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</w:p>
          <w:p w:rsidR="00CB2FF5" w:rsidRDefault="00CB2FF5" w:rsidP="00CB2FF5">
            <w:pPr>
              <w:spacing w:after="20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</w:p>
          <w:p w:rsidR="00597B66" w:rsidRDefault="00597B66" w:rsidP="00CB2FF5">
            <w:pPr>
              <w:spacing w:after="20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  <w:t>Pravilnik o postupku i načinu polaganja naučničkog ispita ispita (Narodne novine, broj 48//21)</w:t>
            </w:r>
          </w:p>
          <w:p w:rsidR="00CB2FF5" w:rsidRDefault="00CB2FF5" w:rsidP="00CB2FF5">
            <w:pPr>
              <w:spacing w:after="20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</w:p>
          <w:p w:rsidR="00597B66" w:rsidRPr="008304D9" w:rsidRDefault="00597B66" w:rsidP="00CB2FF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  <w:t xml:space="preserve"> Pravilnik o načinu i postupku provedbe ispita kojim se dokazuje osnovno znanje o poučavanju učenika naukovanju (Narodne novine, broj 107/20)</w:t>
            </w:r>
          </w:p>
        </w:tc>
      </w:tr>
    </w:tbl>
    <w:p w:rsidR="00597B66" w:rsidRDefault="00597B66" w:rsidP="00CB2FF5">
      <w:pPr>
        <w:pStyle w:val="box465498"/>
        <w:shd w:val="clear" w:color="auto" w:fill="FFFFFF"/>
        <w:spacing w:before="0" w:beforeAutospacing="0" w:after="48" w:afterAutospacing="0" w:line="276" w:lineRule="auto"/>
        <w:ind w:firstLine="720"/>
        <w:jc w:val="both"/>
        <w:textAlignment w:val="baseline"/>
        <w:rPr>
          <w:rFonts w:eastAsia="Calibri"/>
          <w:lang w:val="hr-HR"/>
        </w:rPr>
      </w:pPr>
    </w:p>
    <w:sectPr w:rsidR="00597B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43E"/>
    <w:multiLevelType w:val="hybridMultilevel"/>
    <w:tmpl w:val="8516353E"/>
    <w:lvl w:ilvl="0" w:tplc="CDEED04A">
      <w:start w:val="1"/>
      <w:numFmt w:val="decimal"/>
      <w:lvlText w:val="%1."/>
      <w:lvlJc w:val="left"/>
      <w:pPr>
        <w:ind w:left="420" w:hanging="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51C12"/>
    <w:multiLevelType w:val="hybridMultilevel"/>
    <w:tmpl w:val="303E3B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E2E2F"/>
    <w:multiLevelType w:val="hybridMultilevel"/>
    <w:tmpl w:val="763E8838"/>
    <w:lvl w:ilvl="0" w:tplc="A1DC01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D24F7"/>
    <w:multiLevelType w:val="hybridMultilevel"/>
    <w:tmpl w:val="F4FAAFAA"/>
    <w:lvl w:ilvl="0" w:tplc="CDEED04A">
      <w:start w:val="1"/>
      <w:numFmt w:val="decimal"/>
      <w:lvlText w:val="%1."/>
      <w:lvlJc w:val="left"/>
      <w:pPr>
        <w:ind w:left="420" w:hanging="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4211A"/>
    <w:multiLevelType w:val="hybridMultilevel"/>
    <w:tmpl w:val="F4FAAFAA"/>
    <w:lvl w:ilvl="0" w:tplc="CDEED04A">
      <w:start w:val="1"/>
      <w:numFmt w:val="decimal"/>
      <w:lvlText w:val="%1."/>
      <w:lvlJc w:val="left"/>
      <w:pPr>
        <w:ind w:left="420" w:hanging="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66"/>
    <w:rsid w:val="00355C6B"/>
    <w:rsid w:val="00597B66"/>
    <w:rsid w:val="00CB2FF5"/>
    <w:rsid w:val="00CE2E9A"/>
    <w:rsid w:val="00D7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4C08"/>
  <w15:chartTrackingRefBased/>
  <w15:docId w15:val="{75F7F53C-F66A-4D1E-B54E-7571D31B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B6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65497">
    <w:name w:val="box_465497"/>
    <w:basedOn w:val="Normal"/>
    <w:rsid w:val="0059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65498">
    <w:name w:val="box_465498"/>
    <w:basedOn w:val="Normal"/>
    <w:rsid w:val="0059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2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Nakić</dc:creator>
  <cp:keywords/>
  <dc:description/>
  <cp:lastModifiedBy>Snježana Delalić</cp:lastModifiedBy>
  <cp:revision>3</cp:revision>
  <dcterms:created xsi:type="dcterms:W3CDTF">2021-10-19T11:24:00Z</dcterms:created>
  <dcterms:modified xsi:type="dcterms:W3CDTF">2021-10-19T11:54:00Z</dcterms:modified>
</cp:coreProperties>
</file>